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  <w:t>贵州省三叠纪重要古生物化石分类定级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  <w:t>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</w:rPr>
        <w:t>（试行）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古生物化石保护管理，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贵州省三叠纪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古生物化石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的价值，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依据《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古生物化石保护条例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《贵州省自然资源厅关于成立第二届贵州古生物化石专家委员的通知》（黔自然资函〔2021〕190号），参照《国家古生物化石分级标准（试行）》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以及贵州省古生物化石资源特色，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制定本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。</w:t>
      </w:r>
    </w:p>
    <w:p>
      <w:pPr>
        <w:bidi w:val="0"/>
        <w:spacing w:line="24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 xml:space="preserve">第二条 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贵州省古生物资源丰富，享有“古生物王国”的美誉，大量古生物化石种类研究命名的模式标本产出于贵州省，其中尤以三叠纪地层中产出的重要海生爬行动物、两栖类、鱼类及海百合类最为突出。故本细则以此类古生物化石作为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重要古生物化石，按照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科学价值的重要程度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稀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程度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及其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保存完整程度，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细化分类定级标准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第三条 在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《国家古生物化石分级标准（试行）》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的基础上，将重点保护古生物化石划分为特级、一级、二级、三级四个级别。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第四条 所有贵州省域内产出并命名的古生物化石模式标本，不论门类，均认定为特级重点保护古生物化石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第五条 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重要古生物化石中满足下列条件之一者，应认定为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一级重点保护古生物化石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：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产出数量稀少、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已研究程度低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科学价值高的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海生爬行动物及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28"/>
          <w:highlight w:val="none"/>
          <w:lang w:val="en-US" w:eastAsia="zh-CN"/>
        </w:rPr>
        <w:t>两栖类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，如半甲齿龟、中国始喙龟、卡塔克新民龙、邓氏贵州鱼龙、梁氏关岭鱼龙、李氏云贵龙、羊圈幻龙、黄泥河安顺龙、兴义新铺龙、云贵中国龙龟、意外楯齿龙、黔大头龙、奇异滤齿龙、混形黔鳄等；</w:t>
      </w:r>
    </w:p>
    <w:p>
      <w:pPr>
        <w:bidi w:val="0"/>
        <w:spacing w:line="24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（2）群体保存，保存完整，反映生态特征的巨型海百合化石，自然保存面积大于20m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第六条 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重要古生物化石中满足下列条件之一者，应认定为二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级重点保护古生物化石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：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产出数量较少、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且具有重要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海生爬行动物，如杨氏幻龙、周氏黔鱼龙、盘县混鱼龙、孙氏新铺龙等；或产出数量稀少、保存不完整但保存有关键部位的海生爬行动物；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（2）产出数量稀少、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且具有重要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鱼类，如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28"/>
          <w:highlight w:val="none"/>
          <w:lang w:val="en-US" w:eastAsia="zh-CN"/>
        </w:rPr>
        <w:t>刘氏比耶鱼、贵州伯吉鱼、乌沙飞鱼、兴义飞翼鱼、长胸鳍中华龙鱼、</w:t>
      </w:r>
      <w:r>
        <w:rPr>
          <w:rFonts w:hint="eastAsia" w:ascii="Times New Roman" w:hAnsi="Times New Roman" w:eastAsia="仿宋_GB2312" w:cs="Times New Roman"/>
          <w:strike w:val="0"/>
          <w:color w:val="auto"/>
          <w:sz w:val="28"/>
          <w:highlight w:val="none"/>
          <w:lang w:val="en-US" w:eastAsia="zh-CN"/>
        </w:rPr>
        <w:t>关岭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贵州空棘鱼等；</w:t>
      </w:r>
    </w:p>
    <w:p>
      <w:pPr>
        <w:bidi w:val="0"/>
        <w:spacing w:line="24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（3）群体保存、保存完整度高、反映生态特征的大型海百合化石，自然保存面积在10</w:t>
      </w:r>
      <w:r>
        <w:rPr>
          <w:rFonts w:hint="eastAsia"/>
        </w:rPr>
        <w:t>~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vertAlign w:val="baseline"/>
          <w:lang w:val="en-US" w:eastAsia="zh-CN"/>
        </w:rPr>
        <w:t>（含）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第七条 贵州省重要古生物化石中满足下列条件之一者，应认定为三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级重点保护古生物化石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：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产出数量较多、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且具有一定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海生爬行动物，如胡氏贵州龙等；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（2）产出数量较多、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保存完整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且具有一定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科学价值的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鱼类，如云南龙鱼、贵州弓鳍鱼、长奇鳍中华龙鱼、披刺龙鱼、乌沙疣齿鱼、大型贵州真颌鱼等；</w:t>
      </w:r>
    </w:p>
    <w:p>
      <w:pPr>
        <w:bidi w:val="0"/>
        <w:spacing w:line="24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（3）群体保存、保存完整度高且反映生态特征的中型海百合化石，自然保存面积在5</w:t>
      </w:r>
      <w:r>
        <w:rPr>
          <w:rFonts w:hint="eastAsia"/>
        </w:rPr>
        <w:t>~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vertAlign w:val="baseline"/>
          <w:lang w:val="en-US" w:eastAsia="zh-CN"/>
        </w:rPr>
        <w:t>（含）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。</w:t>
      </w:r>
    </w:p>
    <w:p>
      <w:pPr>
        <w:bidi w:val="0"/>
        <w:spacing w:line="240" w:lineRule="auto"/>
        <w:ind w:firstLine="560" w:firstLineChars="200"/>
        <w:rPr>
          <w:rFonts w:hint="default" w:ascii="Times New Roman" w:hAnsi="Times New Roman" w:eastAsia="仿宋_GB2312" w:cs="Times New Roman"/>
          <w:color w:val="0000FF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第八条 除本细则规定的三叠纪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地层中产出的重要海生爬行动物、两栖类、鱼类及海百合类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外的其他古生物化石分类定级工作，参照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《国家古生物化石分级标准（试行）》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执行。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重要古生物化石中满足下列条件之一者，应认定为一般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保护古生物化石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：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贵州省重要古生物化石中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通常作为重点保护的古生物化石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存在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自然保存不完整，重要关键部位缺失，或人为损伤造成生物特征信息缺失或不完整的；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）产出数量庞大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的鱼类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；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单独保存的海百合类个体或保存结构不全的海百合群体化石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针对通常产出数量较多的海生爬行动物或鱼类，如存在同板自然保存有多种古生物化石组合，或同板群体保存有大量完整个体，反映了区域内生态环境、生物群落或生物组合面貌信息等具有特殊科学价值的贵州省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三叠纪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重要古生物化石，应酌情提升定级级别，通常不属于重点保护古生物化石种类的，也可酌情纳入重点保护古生物化石。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条 对有疑问的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或争议较大的古生物化石的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定级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，由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省自然资源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主管部门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贵州省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古生物化石专家委员会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会议议定后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给出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定级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结论。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条 本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细则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自然资源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主管部门负责解释。</w:t>
      </w:r>
    </w:p>
    <w:p>
      <w:pPr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条 本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细则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自发布之日起施行。</w:t>
      </w:r>
    </w:p>
    <w:p>
      <w:pPr>
        <w:rPr>
          <w:rFonts w:hint="eastAsia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463B7F-B4D2-4E5D-9682-896ECA7785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BC1FFD-CF0F-44ED-BF0D-5F989D24F3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662D73-C8EE-4DC8-9FF4-9BAB833497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jI0OWRiNmYwMjRlNDBmNTEzMDJjZWZhN2E1ZTgifQ=="/>
  </w:docVars>
  <w:rsids>
    <w:rsidRoot w:val="00000000"/>
    <w:rsid w:val="03813394"/>
    <w:rsid w:val="04090D29"/>
    <w:rsid w:val="04AD62C3"/>
    <w:rsid w:val="04D27009"/>
    <w:rsid w:val="082D1321"/>
    <w:rsid w:val="096017D1"/>
    <w:rsid w:val="0C4F11AD"/>
    <w:rsid w:val="0EAD0660"/>
    <w:rsid w:val="11404370"/>
    <w:rsid w:val="14D54725"/>
    <w:rsid w:val="151205D0"/>
    <w:rsid w:val="16ED4DD0"/>
    <w:rsid w:val="193F65A4"/>
    <w:rsid w:val="19445F08"/>
    <w:rsid w:val="1982095C"/>
    <w:rsid w:val="19BA1EA9"/>
    <w:rsid w:val="1B246A3D"/>
    <w:rsid w:val="1B912E98"/>
    <w:rsid w:val="1DD6642B"/>
    <w:rsid w:val="1E984D2C"/>
    <w:rsid w:val="1EFA3C03"/>
    <w:rsid w:val="20EE7939"/>
    <w:rsid w:val="22274816"/>
    <w:rsid w:val="249A5EFE"/>
    <w:rsid w:val="24E20591"/>
    <w:rsid w:val="27BF0385"/>
    <w:rsid w:val="28984644"/>
    <w:rsid w:val="2961415C"/>
    <w:rsid w:val="2CFE4C36"/>
    <w:rsid w:val="2D924AB6"/>
    <w:rsid w:val="2FC75A34"/>
    <w:rsid w:val="30BB4C22"/>
    <w:rsid w:val="330B1E9F"/>
    <w:rsid w:val="341276CC"/>
    <w:rsid w:val="37BE184F"/>
    <w:rsid w:val="37F279D3"/>
    <w:rsid w:val="38F939A1"/>
    <w:rsid w:val="39D15A4A"/>
    <w:rsid w:val="3A621394"/>
    <w:rsid w:val="3E656787"/>
    <w:rsid w:val="432A0FC2"/>
    <w:rsid w:val="4352156B"/>
    <w:rsid w:val="43EE47EF"/>
    <w:rsid w:val="44D747D3"/>
    <w:rsid w:val="46B17667"/>
    <w:rsid w:val="47A6439C"/>
    <w:rsid w:val="485E2A48"/>
    <w:rsid w:val="49A2487F"/>
    <w:rsid w:val="4A12661E"/>
    <w:rsid w:val="4A1753BE"/>
    <w:rsid w:val="4A3B2BAF"/>
    <w:rsid w:val="4B1949DB"/>
    <w:rsid w:val="4B7B253E"/>
    <w:rsid w:val="4B9B4C58"/>
    <w:rsid w:val="4DD363E9"/>
    <w:rsid w:val="4DE60415"/>
    <w:rsid w:val="4EE10A78"/>
    <w:rsid w:val="4FBE2532"/>
    <w:rsid w:val="5031452D"/>
    <w:rsid w:val="50C6663C"/>
    <w:rsid w:val="51C70F8D"/>
    <w:rsid w:val="52985883"/>
    <w:rsid w:val="53423CDA"/>
    <w:rsid w:val="540818A9"/>
    <w:rsid w:val="54300F87"/>
    <w:rsid w:val="55803E10"/>
    <w:rsid w:val="56114643"/>
    <w:rsid w:val="56AC22C3"/>
    <w:rsid w:val="589E4B93"/>
    <w:rsid w:val="59432B66"/>
    <w:rsid w:val="59CA6ABB"/>
    <w:rsid w:val="5A6469E2"/>
    <w:rsid w:val="5AA06989"/>
    <w:rsid w:val="5AAE70AA"/>
    <w:rsid w:val="5B632D21"/>
    <w:rsid w:val="5C0F04F6"/>
    <w:rsid w:val="5D0E33D9"/>
    <w:rsid w:val="609C36B0"/>
    <w:rsid w:val="616628C9"/>
    <w:rsid w:val="62D82236"/>
    <w:rsid w:val="63C94F54"/>
    <w:rsid w:val="63CF342B"/>
    <w:rsid w:val="6435461B"/>
    <w:rsid w:val="65294FB2"/>
    <w:rsid w:val="67477D92"/>
    <w:rsid w:val="68045F2E"/>
    <w:rsid w:val="68550A63"/>
    <w:rsid w:val="6855398D"/>
    <w:rsid w:val="6950482F"/>
    <w:rsid w:val="69F72FBD"/>
    <w:rsid w:val="69F908A2"/>
    <w:rsid w:val="6B717389"/>
    <w:rsid w:val="6D143985"/>
    <w:rsid w:val="6D2B1F15"/>
    <w:rsid w:val="6D3C0200"/>
    <w:rsid w:val="6D4C75E9"/>
    <w:rsid w:val="6D8E5B2B"/>
    <w:rsid w:val="6EED47A0"/>
    <w:rsid w:val="70205EFC"/>
    <w:rsid w:val="70221C74"/>
    <w:rsid w:val="7044108F"/>
    <w:rsid w:val="713C2598"/>
    <w:rsid w:val="71D722CA"/>
    <w:rsid w:val="72BD48CD"/>
    <w:rsid w:val="74017F73"/>
    <w:rsid w:val="747918F5"/>
    <w:rsid w:val="75E577A4"/>
    <w:rsid w:val="766167F2"/>
    <w:rsid w:val="769204A3"/>
    <w:rsid w:val="78320D17"/>
    <w:rsid w:val="79BD4322"/>
    <w:rsid w:val="7A5039F5"/>
    <w:rsid w:val="7B5879E8"/>
    <w:rsid w:val="7BB43904"/>
    <w:rsid w:val="7C402490"/>
    <w:rsid w:val="7CF56609"/>
    <w:rsid w:val="7F695BC2"/>
    <w:rsid w:val="7FB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4428</Words>
  <Characters>4479</Characters>
  <Lines>0</Lines>
  <Paragraphs>0</Paragraphs>
  <TotalTime>16</TotalTime>
  <ScaleCrop>false</ScaleCrop>
  <LinksUpToDate>false</LinksUpToDate>
  <CharactersWithSpaces>4493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2021-11-11T08:22:00Z</dcterms:created>
  <dc:creator>LENOVO</dc:creator>
  <cp:lastModifiedBy>姬胜源矿产资源保护监督处</cp:lastModifiedBy>
  <cp:lastPrinted>2024-06-03T02:29:00Z</cp:lastPrinted>
  <dcterms:modified xsi:type="dcterms:W3CDTF">2024-09-04T08:55:55Z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5E201CA7465B4E8B9080F26209BBDCEA_13</vt:lpwstr>
  </property>
</Properties>
</file>